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72619">
      <w:pPr>
        <w:jc w:val="center"/>
        <w:rPr>
          <w:rFonts w:hint="default" w:ascii="Times New Roman" w:hAnsi="Times New Roman" w:cs="Times New Roman"/>
          <w:b/>
          <w:bCs/>
          <w:sz w:val="28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2"/>
          <w:lang w:val="en-US" w:eastAsia="zh-CN"/>
        </w:rPr>
        <w:t>Supplement for “Persistence of SARS-CoV-2-IgG Antibody Durability in convalescent COVID-19 patients 6 months after the natural infection”</w:t>
      </w:r>
    </w:p>
    <w:p w14:paraId="2B620E93">
      <w:pPr>
        <w:widowControl/>
        <w:jc w:val="left"/>
        <w:rPr>
          <w:rStyle w:val="13"/>
          <w:rFonts w:hint="default" w:ascii="Times New Roman" w:hAnsi="Times New Roman" w:cs="Times New Roman"/>
          <w:b/>
          <w:bCs/>
        </w:rPr>
      </w:pPr>
    </w:p>
    <w:p w14:paraId="3EFB32D4">
      <w:pPr>
        <w:widowControl/>
        <w:jc w:val="left"/>
        <w:rPr>
          <w:rStyle w:val="13"/>
          <w:rFonts w:hint="default" w:ascii="Times New Roman" w:hAnsi="Times New Roman" w:cs="Times New Roman"/>
          <w:b/>
          <w:bCs/>
        </w:rPr>
      </w:pPr>
    </w:p>
    <w:p w14:paraId="248BE9E5">
      <w:pPr>
        <w:widowControl/>
        <w:jc w:val="left"/>
        <w:rPr>
          <w:rStyle w:val="13"/>
          <w:rFonts w:hint="default" w:ascii="Times New Roman" w:hAnsi="Times New Roman" w:cs="Times New Roman"/>
          <w:b/>
          <w:bCs/>
        </w:rPr>
      </w:pPr>
      <w:r>
        <w:rPr>
          <w:rStyle w:val="13"/>
          <w:rFonts w:hint="default" w:ascii="Times New Roman" w:hAnsi="Times New Roman" w:cs="Times New Roman"/>
          <w:b/>
          <w:bCs/>
        </w:rPr>
        <w:drawing>
          <wp:inline distT="0" distB="0" distL="114300" distR="114300">
            <wp:extent cx="6188075" cy="3175000"/>
            <wp:effectExtent l="0" t="0" r="3175" b="6350"/>
            <wp:docPr id="3" name="图片 3" descr="feature_range.bySevere.Recovery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eature_range.bySevere.Recovery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8075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485AE">
      <w:pPr>
        <w:widowControl/>
        <w:numPr>
          <w:ilvl w:val="0"/>
          <w:numId w:val="0"/>
        </w:numPr>
        <w:ind w:leftChars="0"/>
        <w:jc w:val="left"/>
        <w:rPr>
          <w:rStyle w:val="13"/>
          <w:rFonts w:hint="default" w:ascii="Times New Roman" w:hAnsi="Times New Roman" w:cs="Times New Roman"/>
          <w:b/>
          <w:bCs/>
          <w:lang w:eastAsia="zh-CN"/>
        </w:rPr>
      </w:pPr>
      <w:r>
        <w:rPr>
          <w:rStyle w:val="13"/>
          <w:rFonts w:hint="default" w:ascii="Times New Roman" w:hAnsi="Times New Roman" w:cs="Times New Roman"/>
          <w:b/>
          <w:bCs/>
        </w:rPr>
        <w:t>Fig</w:t>
      </w:r>
      <w:r>
        <w:rPr>
          <w:rStyle w:val="13"/>
          <w:rFonts w:hint="default" w:ascii="Times New Roman" w:hAnsi="Times New Roman" w:cs="Times New Roman"/>
          <w:b/>
          <w:bCs/>
          <w:lang w:val="en-US" w:eastAsia="zh-CN"/>
        </w:rPr>
        <w:t>ure</w:t>
      </w:r>
      <w:r>
        <w:rPr>
          <w:rStyle w:val="13"/>
          <w:rFonts w:hint="default" w:ascii="Times New Roman" w:hAnsi="Times New Roman" w:cs="Times New Roman"/>
          <w:b/>
          <w:bCs/>
        </w:rPr>
        <w:t xml:space="preserve"> S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>.1</w:t>
      </w:r>
      <w:r>
        <w:rPr>
          <w:rStyle w:val="13"/>
          <w:rFonts w:hint="default" w:ascii="Times New Roman" w:hAnsi="Times New Roman" w:cs="Times New Roman"/>
          <w:b/>
          <w:bCs/>
        </w:rPr>
        <w:t>.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 xml:space="preserve"> Laboratory traits </w:t>
      </w:r>
      <w:r>
        <w:rPr>
          <w:rStyle w:val="13"/>
          <w:rFonts w:hint="default" w:ascii="Times New Roman" w:hAnsi="Times New Roman" w:cs="Times New Roman"/>
          <w:b/>
          <w:bCs/>
        </w:rPr>
        <w:t xml:space="preserve">of </w:t>
      </w:r>
      <w:r>
        <w:rPr>
          <w:rStyle w:val="13"/>
          <w:rFonts w:hint="default" w:ascii="Times New Roman" w:hAnsi="Times New Roman" w:cs="Times New Roman"/>
          <w:b/>
          <w:bCs/>
        </w:rPr>
        <w:t xml:space="preserve">enrolled </w:t>
      </w:r>
      <w:r>
        <w:rPr>
          <w:rStyle w:val="13"/>
          <w:rFonts w:hint="default" w:ascii="Times New Roman" w:hAnsi="Times New Roman" w:cs="Times New Roman"/>
          <w:b/>
          <w:bCs/>
        </w:rPr>
        <w:t>patients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 xml:space="preserve"> 6 months after 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 xml:space="preserve">natural 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>infection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 xml:space="preserve">grouped by disease severity </w:t>
      </w:r>
    </w:p>
    <w:p w14:paraId="2619CBB0">
      <w:pPr>
        <w:widowControl/>
        <w:jc w:val="left"/>
        <w:rPr>
          <w:rStyle w:val="13"/>
          <w:rFonts w:hint="default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For the laboratory traits, INR = International normalized ratio; PT = Prothrombin time; FIB = Fibrinogen; ALT = Alanine aminotransferase; HBDH = α-Hydroxybutyric dehydrogenase; CK = Creatine kinase; FBG = Fasting blood glucose; LDH = Lactate dehydrogenase; AST = Aspartate aminotransferase; TBIL = Total bilirubin; DBIL = Direct bilirubin; IBIL = Indirect bilirubin; SCR = Serum creatinine; BUN = Blood urea nitrogen; Cytotoxic T = CD3+/CD8+ lymphocyte count; B-cell = B lymphocyte count; NK-cell = NK lymphocyte count; CRP = C-reactive protein; SAA = Serum amyloid A; APTT = Activated partial thromboplastin time; TT = Thrombin time; PTA = Prothrombin activity; TP = Total protein; Alb = Albumin; Glb = Globulin; A/G = Albumin/globulin ratio; UA = Serum uric acid; WBC = White blood cell count; Hb = Hemoglobin; Plt = Platelet count; Neu# = Neutrophil count; Neu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%</w:t>
      </w:r>
      <w:r>
        <w:rPr>
          <w:rFonts w:hint="default" w:ascii="Times New Roman" w:hAnsi="Times New Roman" w:cs="Times New Roman"/>
          <w:sz w:val="24"/>
          <w:szCs w:val="24"/>
        </w:rPr>
        <w:t xml:space="preserve"> = Neutrophil percentage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; </w:t>
      </w:r>
      <w:r>
        <w:rPr>
          <w:rFonts w:hint="default" w:ascii="Times New Roman" w:hAnsi="Times New Roman" w:cs="Times New Roman"/>
          <w:sz w:val="24"/>
          <w:szCs w:val="24"/>
        </w:rPr>
        <w:t>Lym# = Lymphocyte count; Lym% = Lymphocyte percentage; Lymc = Lymphocyte count;</w:t>
      </w:r>
    </w:p>
    <w:p w14:paraId="42682EE2">
      <w:pPr>
        <w:widowControl/>
        <w:jc w:val="left"/>
        <w:rPr>
          <w:rStyle w:val="13"/>
          <w:rFonts w:hint="default" w:ascii="Times New Roman" w:hAnsi="Times New Roman" w:cs="Times New Roman"/>
          <w:b/>
          <w:bCs/>
        </w:rPr>
      </w:pPr>
      <w:r>
        <w:rPr>
          <w:rStyle w:val="13"/>
          <w:rFonts w:hint="default" w:ascii="Times New Roman" w:hAnsi="Times New Roman" w:cs="Times New Roman"/>
          <w:b/>
          <w:bCs/>
        </w:rPr>
        <w:drawing>
          <wp:inline distT="0" distB="0" distL="114300" distR="114300">
            <wp:extent cx="6188710" cy="3174365"/>
            <wp:effectExtent l="0" t="0" r="2540" b="6985"/>
            <wp:docPr id="4" name="图片 4" descr="feature_range.bySex.Recovery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eature_range.bySex.Recovery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17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EA55F">
      <w:pPr>
        <w:widowControl/>
        <w:jc w:val="left"/>
        <w:rPr>
          <w:rStyle w:val="13"/>
          <w:rFonts w:hint="default" w:ascii="Times New Roman" w:hAnsi="Times New Roman" w:cs="Times New Roman"/>
          <w:b/>
          <w:bCs/>
          <w:lang w:val="en-US" w:eastAsia="zh-CN"/>
        </w:rPr>
      </w:pPr>
      <w:r>
        <w:rPr>
          <w:rStyle w:val="13"/>
          <w:rFonts w:hint="default" w:ascii="Times New Roman" w:hAnsi="Times New Roman" w:cs="Times New Roman"/>
          <w:b/>
          <w:bCs/>
        </w:rPr>
        <w:t>Fig</w:t>
      </w:r>
      <w:r>
        <w:rPr>
          <w:rStyle w:val="13"/>
          <w:rFonts w:hint="default" w:ascii="Times New Roman" w:hAnsi="Times New Roman" w:cs="Times New Roman"/>
          <w:b/>
          <w:bCs/>
          <w:lang w:val="en-US" w:eastAsia="zh-CN"/>
        </w:rPr>
        <w:t>ure</w:t>
      </w:r>
      <w:r>
        <w:rPr>
          <w:rStyle w:val="13"/>
          <w:rFonts w:hint="default" w:ascii="Times New Roman" w:hAnsi="Times New Roman" w:cs="Times New Roman"/>
          <w:b/>
          <w:bCs/>
        </w:rPr>
        <w:t xml:space="preserve"> S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>.2.</w:t>
      </w:r>
      <w:r>
        <w:rPr>
          <w:rStyle w:val="13"/>
          <w:rFonts w:hint="default" w:ascii="Times New Roman" w:hAnsi="Times New Roman" w:cs="Times New Roman"/>
          <w:b/>
          <w:bCs/>
          <w:lang w:val="en-US" w:eastAsia="zh-CN"/>
        </w:rPr>
        <w:t xml:space="preserve"> Laboratory traits 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>of enrolled patients</w:t>
      </w:r>
      <w:r>
        <w:rPr>
          <w:rStyle w:val="13"/>
          <w:rFonts w:hint="default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 xml:space="preserve">6 months after 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 xml:space="preserve">natural 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>infection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Style w:val="13"/>
          <w:rFonts w:hint="default" w:ascii="Times New Roman" w:hAnsi="Times New Roman" w:cs="Times New Roman"/>
          <w:b/>
          <w:bCs/>
          <w:lang w:val="en-US" w:eastAsia="zh-CN"/>
        </w:rPr>
        <w:t>grouped by sex</w:t>
      </w:r>
    </w:p>
    <w:p w14:paraId="209C28D7">
      <w:pPr>
        <w:widowControl/>
        <w:jc w:val="left"/>
        <w:rPr>
          <w:rStyle w:val="13"/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For the laboratory traits, INR = International normalized ratio; PT = Prothrombin time; FIB = Fibrinogen; ALT = Alanine aminotransferase; HBDH = α-Hydroxybutyric dehydrogenase; CK = Creatine kinase; FBG = Fasting blood glucose; LDH = Lactate dehydrogenase; AST = Aspartate aminotransferase; TBIL = Total bilirubin; DBIL = Direct bilirubin; IBIL = Indirect bilirubin; SCR = Serum creatinine; BUN = Blood urea nitrogen; Cytotoxic T = CD3+/CD8+ lymphocyte count; B-cell = B lymphocyte count; NK-cell = NK lymphocyte count; CRP = C-reactive protein; SAA = Serum amyloid A; APTT = Activated partial thromboplastin time; TT = Thrombin time; PTA = Prothrombin activity; TP = Total protein; Alb = Albumin; Glb = Globulin; A/G = Albumin/globulin ratio; UA = Serum uric acid; WBC = White blood cell count; Hb = Hemoglobin; Plt = Platelet count; Neu# = Neutrophil count; Neu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%</w:t>
      </w:r>
      <w:r>
        <w:rPr>
          <w:rFonts w:hint="default" w:ascii="Times New Roman" w:hAnsi="Times New Roman" w:cs="Times New Roman"/>
          <w:sz w:val="24"/>
          <w:szCs w:val="24"/>
        </w:rPr>
        <w:t xml:space="preserve"> = Neutrophil percentage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sz w:val="24"/>
          <w:szCs w:val="24"/>
        </w:rPr>
        <w:t>Lym# = Lymphocyte count; Lym% = Lymphocyte percentage; Lymc = Lymphocyte count;</w:t>
      </w:r>
    </w:p>
    <w:p w14:paraId="10B9AD1C">
      <w:pPr>
        <w:rPr>
          <w:rStyle w:val="13"/>
          <w:rFonts w:hint="default" w:ascii="Times New Roman" w:hAnsi="Times New Roman" w:cs="Times New Roman"/>
          <w:b/>
          <w:bCs/>
        </w:rPr>
      </w:pPr>
      <w:r>
        <w:rPr>
          <w:rStyle w:val="13"/>
          <w:rFonts w:hint="default" w:ascii="Times New Roman" w:hAnsi="Times New Roman" w:cs="Times New Roman"/>
          <w:b/>
          <w:bCs/>
        </w:rPr>
        <w:br w:type="page"/>
      </w:r>
    </w:p>
    <w:p w14:paraId="45A65D87">
      <w:pPr>
        <w:jc w:val="center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4773295" cy="3437890"/>
            <wp:effectExtent l="0" t="0" r="8255" b="10160"/>
            <wp:docPr id="6" name="图片 6" descr="IgG_Age_0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gG_Age_01(1)"/>
                    <pic:cNvPicPr>
                      <a:picLocks noChangeAspect="1"/>
                    </pic:cNvPicPr>
                  </pic:nvPicPr>
                  <pic:blipFill>
                    <a:blip r:embed="rId7"/>
                    <a:srcRect l="4402" t="11151" r="6290" b="3078"/>
                    <a:stretch>
                      <a:fillRect/>
                    </a:stretch>
                  </pic:blipFill>
                  <pic:spPr>
                    <a:xfrm>
                      <a:off x="0" y="0"/>
                      <a:ext cx="4773295" cy="343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2AFFA">
      <w:pPr>
        <w:numPr>
          <w:numId w:val="0"/>
        </w:numPr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24292F"/>
          <w:spacing w:val="0"/>
          <w:sz w:val="24"/>
          <w:szCs w:val="24"/>
          <w:shd w:val="clear" w:fill="FFFFFF"/>
          <w:lang w:val="en-US" w:eastAsia="zh-CN"/>
        </w:rPr>
        <w:t>F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>igure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 xml:space="preserve"> S.3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 xml:space="preserve"> T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24292F"/>
          <w:spacing w:val="0"/>
          <w:sz w:val="24"/>
          <w:szCs w:val="24"/>
          <w:shd w:val="clear" w:fill="FFFFFF"/>
        </w:rPr>
        <w:t>he distribution of IgG levels across different age groups.</w:t>
      </w:r>
    </w:p>
    <w:p w14:paraId="47F6AF72">
      <w:pPr>
        <w:jc w:val="center"/>
        <w:rPr>
          <w:rFonts w:hint="default" w:ascii="Times New Roman" w:hAnsi="Times New Roman" w:cs="Times New Roman"/>
        </w:rPr>
      </w:pPr>
    </w:p>
    <w:p w14:paraId="3BFAFCCB">
      <w:pPr>
        <w:jc w:val="center"/>
        <w:rPr>
          <w:rFonts w:hint="default" w:ascii="Times New Roman" w:hAnsi="Times New Roman" w:cs="Times New Roman"/>
        </w:rPr>
      </w:pPr>
    </w:p>
    <w:p w14:paraId="2A06899C">
      <w:pPr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0" distR="0">
            <wp:extent cx="6188710" cy="1607185"/>
            <wp:effectExtent l="0" t="0" r="2540" b="12065"/>
            <wp:docPr id="13745683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568314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60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BF7AF">
      <w:pPr>
        <w:rPr>
          <w:rStyle w:val="13"/>
          <w:rFonts w:hint="default" w:ascii="Times New Roman" w:hAnsi="Times New Roman" w:cs="Times New Roman"/>
          <w:b/>
          <w:bCs/>
        </w:rPr>
      </w:pPr>
      <w:r>
        <w:rPr>
          <w:rStyle w:val="13"/>
          <w:rFonts w:hint="default" w:ascii="Times New Roman" w:hAnsi="Times New Roman" w:cs="Times New Roman"/>
          <w:b/>
          <w:bCs/>
        </w:rPr>
        <w:t xml:space="preserve"> Fig</w:t>
      </w:r>
      <w:r>
        <w:rPr>
          <w:rStyle w:val="13"/>
          <w:rFonts w:hint="default" w:ascii="Times New Roman" w:hAnsi="Times New Roman" w:cs="Times New Roman"/>
          <w:b/>
          <w:bCs/>
          <w:lang w:val="en-US" w:eastAsia="zh-CN"/>
        </w:rPr>
        <w:t>ure</w:t>
      </w:r>
      <w:r>
        <w:rPr>
          <w:rStyle w:val="13"/>
          <w:rFonts w:hint="default" w:ascii="Times New Roman" w:hAnsi="Times New Roman" w:cs="Times New Roman"/>
          <w:b/>
          <w:bCs/>
        </w:rPr>
        <w:t xml:space="preserve"> S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>4</w:t>
      </w:r>
      <w:r>
        <w:rPr>
          <w:rStyle w:val="13"/>
          <w:rFonts w:hint="default" w:ascii="Times New Roman" w:hAnsi="Times New Roman" w:cs="Times New Roman"/>
          <w:b/>
          <w:bCs/>
        </w:rPr>
        <w:t>. Plots for genome-wide association analysis</w:t>
      </w:r>
    </w:p>
    <w:p w14:paraId="235D6E7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 Distribution of average depth for all samples in this project;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 xml:space="preserve"> Saturation analysis for 9 samples with high sequencing depth;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 xml:space="preserve"> Principal component analysis for samples from different populations; </w:t>
      </w:r>
    </w:p>
    <w:p w14:paraId="6D33FF55">
      <w:pPr>
        <w:rPr>
          <w:rFonts w:hint="default" w:ascii="Times New Roman" w:hAnsi="Times New Roman" w:cs="Times New Roman"/>
          <w:sz w:val="24"/>
          <w:szCs w:val="24"/>
        </w:rPr>
      </w:pPr>
    </w:p>
    <w:p w14:paraId="24F0D86A">
      <w:pPr>
        <w:jc w:val="center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3304540" cy="3304540"/>
            <wp:effectExtent l="0" t="0" r="10160" b="10160"/>
            <wp:docPr id="7" name="图片 7" descr="02086ab9294107f0502cb18de8eef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086ab9294107f0502cb18de8eef67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4540" cy="330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0DF35">
      <w:pPr>
        <w:jc w:val="center"/>
        <w:rPr>
          <w:rStyle w:val="13"/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Style w:val="13"/>
          <w:rFonts w:hint="default" w:ascii="Times New Roman" w:hAnsi="Times New Roman" w:cs="Times New Roman"/>
          <w:b/>
          <w:bCs/>
        </w:rPr>
        <w:t>Fig</w:t>
      </w:r>
      <w:r>
        <w:rPr>
          <w:rStyle w:val="13"/>
          <w:rFonts w:hint="default" w:ascii="Times New Roman" w:hAnsi="Times New Roman" w:cs="Times New Roman"/>
          <w:b/>
          <w:bCs/>
          <w:lang w:val="en-US" w:eastAsia="zh-CN"/>
        </w:rPr>
        <w:t>ure</w:t>
      </w:r>
      <w:r>
        <w:rPr>
          <w:rStyle w:val="13"/>
          <w:rFonts w:hint="default" w:ascii="Times New Roman" w:hAnsi="Times New Roman" w:cs="Times New Roman"/>
          <w:b/>
          <w:bCs/>
        </w:rPr>
        <w:t xml:space="preserve"> S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>.5</w:t>
      </w:r>
      <w:r>
        <w:rPr>
          <w:rStyle w:val="13"/>
          <w:rFonts w:hint="default" w:ascii="Times New Roman" w:hAnsi="Times New Roman" w:cs="Times New Roman"/>
          <w:b/>
          <w:bCs/>
        </w:rPr>
        <w:t xml:space="preserve">. </w:t>
      </w:r>
      <w:r>
        <w:rPr>
          <w:rStyle w:val="13"/>
          <w:rFonts w:hint="default" w:ascii="Times New Roman" w:hAnsi="Times New Roman" w:eastAsia="宋体" w:cs="Times New Roman"/>
          <w:b/>
          <w:bCs/>
          <w:lang w:val="en-US" w:eastAsia="zh-CN"/>
        </w:rPr>
        <w:t xml:space="preserve">The inflation factor (λ) for </w:t>
      </w:r>
      <w:r>
        <w:rPr>
          <w:rStyle w:val="13"/>
          <w:rFonts w:hint="eastAsia" w:ascii="Times New Roman" w:hAnsi="Times New Roman" w:eastAsia="宋体" w:cs="Times New Roman"/>
          <w:b/>
          <w:bCs/>
          <w:lang w:val="en-US" w:eastAsia="zh-CN"/>
        </w:rPr>
        <w:t>RBD-IgG</w:t>
      </w:r>
    </w:p>
    <w:p w14:paraId="4F4BDBDA">
      <w:pPr>
        <w:rPr>
          <w:rStyle w:val="13"/>
          <w:rFonts w:hint="default" w:ascii="Times New Roman" w:hAnsi="Times New Roman" w:eastAsia="宋体" w:cs="Times New Roman"/>
          <w:b/>
          <w:bCs/>
          <w:lang w:val="en-US" w:eastAsia="zh-CN"/>
        </w:rPr>
      </w:pPr>
    </w:p>
    <w:p w14:paraId="6E22B8BE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firstLine="0"/>
        <w:jc w:val="center"/>
        <w:rPr>
          <w:rFonts w:hint="default" w:ascii="Times New Roman" w:hAnsi="Times New Roman" w:eastAsia="Trebuchet MS" w:cs="Times New Roman"/>
          <w:i w:val="0"/>
          <w:iCs w:val="0"/>
          <w:caps w:val="0"/>
          <w:color w:val="3E3D4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30BC98B4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firstLine="0"/>
        <w:jc w:val="center"/>
        <w:rPr>
          <w:rFonts w:hint="default" w:ascii="Times New Roman" w:hAnsi="Times New Roman" w:eastAsia="Trebuchet MS" w:cs="Times New Roman"/>
          <w:i w:val="0"/>
          <w:iCs w:val="0"/>
          <w:caps w:val="0"/>
          <w:color w:val="3E3D4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Trebuchet MS" w:cs="Times New Roman"/>
          <w:i w:val="0"/>
          <w:iCs w:val="0"/>
          <w:caps w:val="0"/>
          <w:color w:val="3E3D40"/>
          <w:spacing w:val="0"/>
          <w:kern w:val="0"/>
          <w:sz w:val="24"/>
          <w:szCs w:val="24"/>
          <w:shd w:val="clear" w:fill="FFFFFF"/>
          <w:lang w:val="en-US" w:eastAsia="zh-CN" w:bidi="ar"/>
        </w:rPr>
        <w:drawing>
          <wp:inline distT="0" distB="0" distL="114300" distR="114300">
            <wp:extent cx="4511675" cy="3294380"/>
            <wp:effectExtent l="0" t="0" r="0" b="0"/>
            <wp:docPr id="1" name="图片 1" descr="4bfee8f1e2fead99282a9d2ccca97b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bfee8f1e2fead99282a9d2ccca97b0f"/>
                    <pic:cNvPicPr>
                      <a:picLocks noChangeAspect="1"/>
                    </pic:cNvPicPr>
                  </pic:nvPicPr>
                  <pic:blipFill>
                    <a:blip r:embed="rId10"/>
                    <a:srcRect t="1181" r="2937"/>
                    <a:stretch>
                      <a:fillRect/>
                    </a:stretch>
                  </pic:blipFill>
                  <pic:spPr>
                    <a:xfrm>
                      <a:off x="0" y="0"/>
                      <a:ext cx="4511675" cy="329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A4C43">
      <w:pPr>
        <w:widowControl/>
        <w:jc w:val="left"/>
        <w:rPr>
          <w:rStyle w:val="13"/>
          <w:rFonts w:hint="default" w:ascii="Times New Roman" w:hAnsi="Times New Roman" w:cs="Times New Roman"/>
          <w:b/>
          <w:bCs/>
          <w:lang w:eastAsia="zh-CN"/>
        </w:rPr>
      </w:pPr>
      <w:r>
        <w:rPr>
          <w:rStyle w:val="13"/>
          <w:rFonts w:hint="default" w:ascii="Times New Roman" w:hAnsi="Times New Roman" w:cs="Times New Roman"/>
          <w:b/>
          <w:bCs/>
          <w:lang w:val="en-US" w:eastAsia="zh-CN"/>
        </w:rPr>
        <w:t>Figure S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>.6</w:t>
      </w:r>
      <w:r>
        <w:rPr>
          <w:rStyle w:val="13"/>
          <w:rFonts w:hint="default" w:ascii="Times New Roman" w:hAnsi="Times New Roman" w:cs="Times New Roman"/>
          <w:b/>
          <w:bCs/>
          <w:lang w:val="en-US" w:eastAsia="zh-CN"/>
        </w:rPr>
        <w:t xml:space="preserve">. 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 xml:space="preserve">Assessment of IgG 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>a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 xml:space="preserve">ntibody 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>l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 xml:space="preserve">evels in 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>i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 xml:space="preserve">ndividuals with 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>r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 xml:space="preserve">eference and 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>a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 xml:space="preserve">lternate </w:t>
      </w:r>
      <w:r>
        <w:rPr>
          <w:rStyle w:val="13"/>
          <w:rFonts w:hint="eastAsia" w:ascii="Times New Roman" w:hAnsi="Times New Roman" w:cs="Times New Roman"/>
          <w:b/>
          <w:bCs/>
          <w:lang w:val="en-US" w:eastAsia="zh-CN"/>
        </w:rPr>
        <w:t>g</w:t>
      </w:r>
      <w:r>
        <w:rPr>
          <w:rStyle w:val="13"/>
          <w:rFonts w:hint="default" w:ascii="Times New Roman" w:hAnsi="Times New Roman" w:cs="Times New Roman"/>
          <w:b/>
          <w:bCs/>
          <w:lang w:eastAsia="zh-CN"/>
        </w:rPr>
        <w:t>enotypes</w:t>
      </w:r>
    </w:p>
    <w:p w14:paraId="1A5ABE0B">
      <w:pPr>
        <w:widowControl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Ref：</w:t>
      </w:r>
      <w:r>
        <w:rPr>
          <w:rFonts w:hint="default" w:ascii="Times New Roman" w:hAnsi="Times New Roman" w:cs="Times New Roman"/>
          <w:sz w:val="24"/>
          <w:szCs w:val="24"/>
        </w:rPr>
        <w:t xml:space="preserve">Reference group (homozygous carriers of the reference allele (wild-type) </w:t>
      </w:r>
    </w:p>
    <w:p w14:paraId="3CE2D0AF">
      <w:pPr>
        <w:widowControl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Alt: </w:t>
      </w:r>
      <w:r>
        <w:rPr>
          <w:rFonts w:hint="default" w:ascii="Times New Roman" w:hAnsi="Times New Roman" w:cs="Times New Roman"/>
          <w:sz w:val="24"/>
          <w:szCs w:val="24"/>
        </w:rPr>
        <w:t>Alternate group (carriers of the alternate allele)</w:t>
      </w:r>
    </w:p>
    <w:p w14:paraId="0C445C8A">
      <w:pPr>
        <w:keepNext w:val="0"/>
        <w:keepLines w:val="0"/>
        <w:widowControl/>
        <w:numPr>
          <w:numId w:val="0"/>
        </w:numPr>
        <w:suppressLineNumbers w:val="0"/>
        <w:spacing w:before="53" w:beforeAutospacing="0" w:after="0" w:afterAutospacing="1"/>
        <w:ind w:left="360" w:leftChars="0"/>
        <w:rPr>
          <w:rFonts w:hint="default" w:ascii="Times New Roman" w:hAnsi="Times New Roman" w:eastAsia="Helvetica" w:cs="Times New Roman"/>
          <w:i w:val="0"/>
          <w:iCs w:val="0"/>
          <w:caps w:val="0"/>
          <w:color w:val="57606A"/>
          <w:spacing w:val="0"/>
          <w:sz w:val="24"/>
          <w:szCs w:val="24"/>
          <w:shd w:val="clear" w:fill="FFFFFF"/>
        </w:rPr>
      </w:pPr>
    </w:p>
    <w:p w14:paraId="79AE5A4F">
      <w:pPr>
        <w:keepNext w:val="0"/>
        <w:keepLines w:val="0"/>
        <w:widowControl/>
        <w:numPr>
          <w:numId w:val="0"/>
        </w:numPr>
        <w:suppressLineNumbers w:val="0"/>
        <w:spacing w:before="53" w:beforeAutospacing="0" w:after="0" w:afterAutospacing="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i w:val="0"/>
          <w:iCs w:val="0"/>
          <w:color w:val="24292F"/>
          <w:spacing w:val="0"/>
          <w:sz w:val="24"/>
          <w:szCs w:val="24"/>
          <w:shd w:val="clear" w:fill="FFFFFF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 xml:space="preserve">he </w:t>
      </w:r>
      <w:r>
        <w:rPr>
          <w:rStyle w:val="9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>Ref</w:t>
      </w:r>
      <w:r>
        <w:rPr>
          <w:rStyle w:val="9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9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 xml:space="preserve">group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 xml:space="preserve">present with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>h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24292F"/>
          <w:spacing w:val="0"/>
          <w:sz w:val="24"/>
          <w:szCs w:val="24"/>
          <w:shd w:val="clear" w:fill="FFFFFF"/>
        </w:rPr>
        <w:t>igher anti-RBD IgG levels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 xml:space="preserve"> compared wit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 xml:space="preserve">h </w:t>
      </w:r>
      <w:r>
        <w:rPr>
          <w:rStyle w:val="9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 xml:space="preserve">Alt </w:t>
      </w:r>
      <w:r>
        <w:rPr>
          <w:rStyle w:val="9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>group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24292F"/>
          <w:spacing w:val="0"/>
          <w:sz w:val="24"/>
          <w:szCs w:val="24"/>
          <w:shd w:val="clear" w:fill="FFFFFF"/>
        </w:rPr>
        <w:t xml:space="preserve"> (</w:t>
      </w:r>
      <w:r>
        <w:rPr>
          <w:rStyle w:val="9"/>
          <w:rFonts w:hint="default" w:ascii="Times New Roman" w:hAnsi="Times New Roman" w:eastAsia="Helvetica" w:cs="Times New Roman"/>
          <w:b w:val="0"/>
          <w:bCs w:val="0"/>
          <w:i/>
          <w:iCs/>
          <w:caps w:val="0"/>
          <w:color w:val="24292F"/>
          <w:spacing w:val="0"/>
          <w:sz w:val="24"/>
          <w:szCs w:val="24"/>
          <w:shd w:val="clear" w:fill="FFFFFF"/>
        </w:rPr>
        <w:t>P</w:t>
      </w:r>
      <w:r>
        <w:rPr>
          <w:rStyle w:val="9"/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24292F"/>
          <w:spacing w:val="0"/>
          <w:sz w:val="24"/>
          <w:szCs w:val="24"/>
          <w:shd w:val="clear" w:fill="FFFFFF"/>
        </w:rPr>
        <w:t xml:space="preserve"> = 0.0012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24292F"/>
          <w:spacing w:val="0"/>
          <w:sz w:val="24"/>
          <w:szCs w:val="24"/>
          <w:shd w:val="clear" w:fill="FFFFFF"/>
        </w:rPr>
        <w:t>)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24292F"/>
          <w:spacing w:val="0"/>
          <w:sz w:val="24"/>
          <w:szCs w:val="24"/>
          <w:shd w:val="clear" w:fill="FFFFFF"/>
          <w:lang w:val="en-US" w:eastAsia="zh-CN"/>
        </w:rPr>
        <w:t>.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C701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E2DE0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E2DE0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Q0NzExMDQ3tjQ2NDJQ0lEKTi0uzszPAykwrAUAiSw4bCwAAAA="/>
    <w:docVar w:name="commondata" w:val="eyJoZGlkIjoiODljZTUyOTkxYjljOTMzOGQ4M2VmY2RkNzJlZjAyM2UifQ=="/>
  </w:docVars>
  <w:rsids>
    <w:rsidRoot w:val="37504BAF"/>
    <w:rsid w:val="00061E15"/>
    <w:rsid w:val="00084622"/>
    <w:rsid w:val="000850CC"/>
    <w:rsid w:val="0009703C"/>
    <w:rsid w:val="000A36ED"/>
    <w:rsid w:val="0011397A"/>
    <w:rsid w:val="00171665"/>
    <w:rsid w:val="00177642"/>
    <w:rsid w:val="0018698B"/>
    <w:rsid w:val="0019467B"/>
    <w:rsid w:val="001B703F"/>
    <w:rsid w:val="001C0236"/>
    <w:rsid w:val="001C1349"/>
    <w:rsid w:val="001D09B7"/>
    <w:rsid w:val="001E12E5"/>
    <w:rsid w:val="001F4816"/>
    <w:rsid w:val="002001E5"/>
    <w:rsid w:val="00214E3E"/>
    <w:rsid w:val="002212D3"/>
    <w:rsid w:val="00225BDC"/>
    <w:rsid w:val="00234549"/>
    <w:rsid w:val="00236C13"/>
    <w:rsid w:val="00282726"/>
    <w:rsid w:val="002A2EDF"/>
    <w:rsid w:val="002E6153"/>
    <w:rsid w:val="00310730"/>
    <w:rsid w:val="003107DD"/>
    <w:rsid w:val="00316B18"/>
    <w:rsid w:val="00340E8C"/>
    <w:rsid w:val="00365A6D"/>
    <w:rsid w:val="0038144F"/>
    <w:rsid w:val="00391904"/>
    <w:rsid w:val="003A3751"/>
    <w:rsid w:val="003E2671"/>
    <w:rsid w:val="004214F0"/>
    <w:rsid w:val="0042306A"/>
    <w:rsid w:val="004451FF"/>
    <w:rsid w:val="004464DE"/>
    <w:rsid w:val="00454B70"/>
    <w:rsid w:val="00470827"/>
    <w:rsid w:val="004810BB"/>
    <w:rsid w:val="004909E7"/>
    <w:rsid w:val="004A5EBA"/>
    <w:rsid w:val="004F6AA7"/>
    <w:rsid w:val="005033D3"/>
    <w:rsid w:val="005120B1"/>
    <w:rsid w:val="0054526C"/>
    <w:rsid w:val="00563985"/>
    <w:rsid w:val="00573AB2"/>
    <w:rsid w:val="0058053B"/>
    <w:rsid w:val="005949C4"/>
    <w:rsid w:val="005D7044"/>
    <w:rsid w:val="005E42DB"/>
    <w:rsid w:val="005E5728"/>
    <w:rsid w:val="005F5B8F"/>
    <w:rsid w:val="00607DE8"/>
    <w:rsid w:val="0062412C"/>
    <w:rsid w:val="006418FB"/>
    <w:rsid w:val="00646038"/>
    <w:rsid w:val="00657A41"/>
    <w:rsid w:val="006B0D9F"/>
    <w:rsid w:val="006D3DA7"/>
    <w:rsid w:val="006D7BAA"/>
    <w:rsid w:val="00775114"/>
    <w:rsid w:val="0079006F"/>
    <w:rsid w:val="007C732F"/>
    <w:rsid w:val="007E168B"/>
    <w:rsid w:val="007E7EE8"/>
    <w:rsid w:val="008006B7"/>
    <w:rsid w:val="00807B3E"/>
    <w:rsid w:val="00875331"/>
    <w:rsid w:val="008A1589"/>
    <w:rsid w:val="008A573F"/>
    <w:rsid w:val="008E1131"/>
    <w:rsid w:val="008E2664"/>
    <w:rsid w:val="008E6F17"/>
    <w:rsid w:val="008F319B"/>
    <w:rsid w:val="009058FC"/>
    <w:rsid w:val="00906BA3"/>
    <w:rsid w:val="00945900"/>
    <w:rsid w:val="00954403"/>
    <w:rsid w:val="00960307"/>
    <w:rsid w:val="00960A7E"/>
    <w:rsid w:val="009A64AA"/>
    <w:rsid w:val="009E0DC0"/>
    <w:rsid w:val="009F3B7E"/>
    <w:rsid w:val="00A022B6"/>
    <w:rsid w:val="00A30FF3"/>
    <w:rsid w:val="00A3702E"/>
    <w:rsid w:val="00A6577D"/>
    <w:rsid w:val="00AA46AF"/>
    <w:rsid w:val="00AD50D2"/>
    <w:rsid w:val="00B96750"/>
    <w:rsid w:val="00BC60CE"/>
    <w:rsid w:val="00BD623C"/>
    <w:rsid w:val="00BE5041"/>
    <w:rsid w:val="00C729A6"/>
    <w:rsid w:val="00CA505F"/>
    <w:rsid w:val="00CB0FF1"/>
    <w:rsid w:val="00CB12D2"/>
    <w:rsid w:val="00CB5FF8"/>
    <w:rsid w:val="00CF0825"/>
    <w:rsid w:val="00D00309"/>
    <w:rsid w:val="00D0479C"/>
    <w:rsid w:val="00D50079"/>
    <w:rsid w:val="00D95970"/>
    <w:rsid w:val="00DA290A"/>
    <w:rsid w:val="00DB250E"/>
    <w:rsid w:val="00DF553E"/>
    <w:rsid w:val="00E35117"/>
    <w:rsid w:val="00EB0152"/>
    <w:rsid w:val="00EB68A4"/>
    <w:rsid w:val="00ED2E2A"/>
    <w:rsid w:val="00EE705C"/>
    <w:rsid w:val="00F032F7"/>
    <w:rsid w:val="00F24164"/>
    <w:rsid w:val="00F5273A"/>
    <w:rsid w:val="00F7667F"/>
    <w:rsid w:val="00FA68E5"/>
    <w:rsid w:val="00FA6921"/>
    <w:rsid w:val="00FD4C50"/>
    <w:rsid w:val="1F3F6FB6"/>
    <w:rsid w:val="21EA7F94"/>
    <w:rsid w:val="22592A24"/>
    <w:rsid w:val="241373C1"/>
    <w:rsid w:val="37504BAF"/>
    <w:rsid w:val="388D739E"/>
    <w:rsid w:val="40A84E4B"/>
    <w:rsid w:val="419B050B"/>
    <w:rsid w:val="44820218"/>
    <w:rsid w:val="52B80AFC"/>
    <w:rsid w:val="5BB52506"/>
    <w:rsid w:val="657E7330"/>
    <w:rsid w:val="6F382A23"/>
    <w:rsid w:val="718A3256"/>
    <w:rsid w:val="73DE5EB2"/>
    <w:rsid w:val="76320737"/>
    <w:rsid w:val="795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HTML 预设格式 字符"/>
    <w:basedOn w:val="8"/>
    <w:link w:val="4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11">
    <w:name w:val="页眉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2"/>
    <w:qFormat/>
    <w:uiPriority w:val="0"/>
    <w:rPr>
      <w:kern w:val="2"/>
      <w:sz w:val="18"/>
      <w:szCs w:val="18"/>
    </w:rPr>
  </w:style>
  <w:style w:type="character" w:customStyle="1" w:styleId="13">
    <w:name w:val="15"/>
    <w:basedOn w:val="8"/>
    <w:qFormat/>
    <w:uiPriority w:val="0"/>
    <w:rPr>
      <w:rFonts w:hint="default" w:ascii="Calibri" w:hAnsi="Calibri" w:cs="Calibri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459</Words>
  <Characters>2531</Characters>
  <Lines>1</Lines>
  <Paragraphs>1</Paragraphs>
  <TotalTime>0</TotalTime>
  <ScaleCrop>false</ScaleCrop>
  <LinksUpToDate>false</LinksUpToDate>
  <CharactersWithSpaces>2979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2024-03-26T09:03:00Z</dcterms:created>
  <dc:creator>华俏丽</dc:creator>
  <cp:lastModifiedBy>华俏丽</cp:lastModifiedBy>
  <cp:lastPrinted>2024-03-26T09:58:00Z</cp:lastPrinted>
  <dcterms:modified xsi:type="dcterms:W3CDTF">2025-07-04T10:09:15Z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608C4D81712B4DD9A12E8B0C2D55F1B5_13</vt:lpwstr>
  </property>
  <property fmtid="{D5CDD505-2E9C-101B-9397-08002B2CF9AE}" pid="4" name="KSOTemplateDocerSaveRecord">
    <vt:lpwstr>eyJoZGlkIjoiYjM4MTliZGU3MWU3MGE0MmE2OTIxMDAyNGYzY2E3MmQiLCJ1c2VySWQiOiIyNjc3NzU2MTYifQ==</vt:lpwstr>
  </property>
</Properties>
</file>